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215769</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1-11</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10.2.1.5</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Load Balancing Enhancements</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 xml:space="preserve">In last RAN3 meeting[1], load balancing enhancements have been discussed, and some agreements have been reached. </w:t>
      </w:r>
    </w:p>
    <w:p>
      <w:pPr>
        <w:rPr>
          <w:rFonts w:cs="Calibri"/>
          <w:b/>
          <w:bCs/>
          <w:iCs/>
          <w:color w:val="00B050"/>
          <w:sz w:val="18"/>
          <w:szCs w:val="18"/>
        </w:rPr>
      </w:pPr>
      <w:r>
        <w:rPr>
          <w:rFonts w:hint="eastAsia" w:cs="Calibri"/>
          <w:b/>
          <w:bCs/>
          <w:iCs/>
          <w:color w:val="00B050"/>
          <w:sz w:val="18"/>
          <w:szCs w:val="18"/>
        </w:rPr>
        <w:t>The reference point for slice PRB usage is total PRBs available in the cell. And the semantics description for slice PRB usage should mention the selected reference point.</w:t>
      </w:r>
    </w:p>
    <w:p>
      <w:pPr>
        <w:rPr>
          <w:rFonts w:hint="eastAsia" w:cs="Calibri"/>
          <w:b/>
          <w:bCs/>
          <w:iCs/>
          <w:color w:val="00B050"/>
          <w:sz w:val="18"/>
          <w:szCs w:val="18"/>
        </w:rPr>
      </w:pPr>
      <w:r>
        <w:rPr>
          <w:rFonts w:hint="eastAsia" w:cs="Calibri"/>
          <w:b/>
          <w:bCs/>
          <w:iCs/>
          <w:color w:val="00B050"/>
          <w:sz w:val="18"/>
          <w:szCs w:val="18"/>
        </w:rPr>
        <w:t>Separate reporting of dedicated/prioritized/shared slice PRB usage is not pursued in this release.</w:t>
      </w:r>
    </w:p>
    <w:p>
      <w:pPr>
        <w:jc w:val="both"/>
        <w:rPr>
          <w:rFonts w:hint="default"/>
          <w:lang w:val="en-US" w:eastAsia="zh-CN"/>
        </w:rPr>
      </w:pPr>
      <w:r>
        <w:rPr>
          <w:rFonts w:hint="eastAsia"/>
          <w:lang w:val="en-US" w:eastAsia="zh-CN"/>
        </w:rPr>
        <w:t>However, some open issues are still left for further study as follows.</w:t>
      </w:r>
    </w:p>
    <w:p>
      <w:pPr>
        <w:rPr>
          <w:rFonts w:hint="eastAsia" w:eastAsia="等线" w:cs="Calibri"/>
          <w:b/>
          <w:color w:val="0000FF"/>
          <w:sz w:val="18"/>
          <w:szCs w:val="24"/>
          <w:lang w:eastAsia="zh-CN"/>
        </w:rPr>
      </w:pPr>
      <w:r>
        <w:rPr>
          <w:rFonts w:hint="eastAsia" w:eastAsia="等线" w:cs="Calibri"/>
          <w:b/>
          <w:color w:val="0000FF"/>
          <w:sz w:val="18"/>
          <w:szCs w:val="24"/>
          <w:lang w:eastAsia="zh-CN"/>
        </w:rPr>
        <w:t>R</w:t>
      </w:r>
      <w:r>
        <w:rPr>
          <w:rFonts w:eastAsia="等线" w:cs="Calibri"/>
          <w:b/>
          <w:color w:val="0000FF"/>
          <w:sz w:val="18"/>
          <w:szCs w:val="24"/>
          <w:lang w:eastAsia="zh-CN"/>
        </w:rPr>
        <w:t>emaining issues:</w:t>
      </w:r>
    </w:p>
    <w:p>
      <w:pPr>
        <w:rPr>
          <w:rFonts w:eastAsia="等线" w:cs="Calibri"/>
          <w:b/>
          <w:color w:val="0000FF"/>
          <w:sz w:val="18"/>
          <w:szCs w:val="24"/>
          <w:lang w:eastAsia="zh-CN"/>
        </w:rPr>
      </w:pPr>
      <w:r>
        <w:rPr>
          <w:rFonts w:eastAsia="等线" w:cs="Calibri"/>
          <w:b/>
          <w:color w:val="0000FF"/>
          <w:sz w:val="18"/>
          <w:szCs w:val="24"/>
          <w:lang w:eastAsia="zh-CN"/>
        </w:rPr>
        <w:t>Further clarification on enabling per-SSB offset for Mobility Settings Change over Xn, and possibly F1.</w:t>
      </w:r>
    </w:p>
    <w:p>
      <w:pPr>
        <w:numPr>
          <w:ilvl w:val="0"/>
          <w:numId w:val="11"/>
        </w:numPr>
        <w:rPr>
          <w:rFonts w:hint="eastAsia" w:eastAsia="等线" w:cs="Calibri"/>
          <w:b/>
          <w:color w:val="0000FF"/>
          <w:sz w:val="18"/>
          <w:szCs w:val="24"/>
          <w:lang w:eastAsia="zh-CN"/>
        </w:rPr>
      </w:pPr>
      <w:r>
        <w:rPr>
          <w:rFonts w:eastAsia="等线" w:cs="Calibri"/>
          <w:b/>
          <w:color w:val="0000FF"/>
          <w:sz w:val="18"/>
          <w:szCs w:val="24"/>
          <w:lang w:eastAsia="zh-CN"/>
        </w:rPr>
        <w:t>Is it node1 telling node2 what thresholds to use for HO to node1?</w:t>
      </w:r>
    </w:p>
    <w:p>
      <w:pPr>
        <w:numPr>
          <w:ilvl w:val="0"/>
          <w:numId w:val="11"/>
        </w:numPr>
        <w:rPr>
          <w:rFonts w:eastAsia="等线" w:cs="Calibri"/>
          <w:b/>
          <w:color w:val="0000FF"/>
          <w:sz w:val="18"/>
          <w:szCs w:val="24"/>
          <w:lang w:eastAsia="zh-CN"/>
        </w:rPr>
      </w:pPr>
      <w:r>
        <w:rPr>
          <w:rFonts w:eastAsia="等线" w:cs="Calibri"/>
          <w:b/>
          <w:color w:val="0000FF"/>
          <w:sz w:val="18"/>
          <w:szCs w:val="24"/>
          <w:lang w:eastAsia="zh-CN"/>
        </w:rPr>
        <w:t>Is there a chance for node2 to reject?</w:t>
      </w:r>
    </w:p>
    <w:p>
      <w:pPr>
        <w:numPr>
          <w:ilvl w:val="0"/>
          <w:numId w:val="11"/>
        </w:numPr>
        <w:rPr>
          <w:rFonts w:eastAsia="等线" w:cs="Calibri"/>
          <w:b/>
          <w:color w:val="0000FF"/>
          <w:sz w:val="18"/>
          <w:szCs w:val="24"/>
          <w:lang w:eastAsia="zh-CN"/>
        </w:rPr>
      </w:pPr>
      <w:r>
        <w:rPr>
          <w:rFonts w:eastAsia="等线" w:cs="Calibri"/>
          <w:b/>
          <w:color w:val="0000FF"/>
          <w:sz w:val="18"/>
          <w:szCs w:val="24"/>
          <w:lang w:eastAsia="zh-CN"/>
        </w:rPr>
        <w:t>Can the SSB offset go in both directions (can we trigger HO earlier for one SSB)?</w:t>
      </w:r>
    </w:p>
    <w:p>
      <w:pPr>
        <w:rPr>
          <w:rFonts w:eastAsia="等线" w:cs="Calibri"/>
          <w:b/>
          <w:color w:val="0000FF"/>
          <w:sz w:val="18"/>
          <w:szCs w:val="24"/>
          <w:lang w:eastAsia="zh-CN"/>
        </w:rPr>
      </w:pPr>
      <w:r>
        <w:rPr>
          <w:rFonts w:eastAsia="等线" w:cs="Calibri"/>
          <w:b/>
          <w:color w:val="0000FF"/>
          <w:sz w:val="18"/>
          <w:szCs w:val="24"/>
          <w:lang w:eastAsia="zh-CN"/>
        </w:rPr>
        <w:t>FFS on whether and how to introduce per-slice offset for Mobility Settings Change.</w:t>
      </w:r>
    </w:p>
    <w:p>
      <w:pPr>
        <w:rPr>
          <w:rFonts w:eastAsia="等线" w:cs="Calibri"/>
          <w:b/>
          <w:color w:val="0000FF"/>
          <w:sz w:val="18"/>
          <w:szCs w:val="24"/>
          <w:lang w:eastAsia="zh-CN"/>
        </w:rPr>
      </w:pPr>
      <w:r>
        <w:rPr>
          <w:rFonts w:eastAsia="等线" w:cs="Calibri"/>
          <w:b/>
          <w:color w:val="0000FF"/>
          <w:sz w:val="18"/>
          <w:szCs w:val="24"/>
          <w:lang w:eastAsia="zh-CN"/>
        </w:rPr>
        <w:t>FFS on introducing load metric for UEs in RRC inactive.</w:t>
      </w:r>
    </w:p>
    <w:p>
      <w:pPr>
        <w:rPr>
          <w:rFonts w:eastAsia="等线" w:cs="Calibri"/>
          <w:b/>
          <w:color w:val="0000FF"/>
          <w:sz w:val="18"/>
          <w:szCs w:val="24"/>
          <w:lang w:eastAsia="zh-CN"/>
        </w:rPr>
      </w:pPr>
      <w:r>
        <w:rPr>
          <w:rFonts w:eastAsia="等线" w:cs="Calibri"/>
          <w:b/>
          <w:color w:val="0000FF"/>
          <w:sz w:val="18"/>
          <w:szCs w:val="24"/>
          <w:lang w:eastAsia="zh-CN"/>
        </w:rPr>
        <w:t>FFS on whether to introduce stop/pause/resume mechanism for load reporting.</w:t>
      </w:r>
    </w:p>
    <w:p>
      <w:pPr>
        <w:rPr>
          <w:rFonts w:eastAsia="等线" w:cs="Calibri"/>
          <w:b/>
          <w:color w:val="0000FF"/>
          <w:sz w:val="18"/>
          <w:szCs w:val="24"/>
          <w:lang w:eastAsia="zh-CN"/>
        </w:rPr>
      </w:pPr>
      <w:r>
        <w:rPr>
          <w:rFonts w:eastAsia="等线" w:cs="Calibri"/>
          <w:b/>
          <w:color w:val="0000FF"/>
          <w:sz w:val="18"/>
          <w:szCs w:val="24"/>
          <w:lang w:eastAsia="zh-CN"/>
        </w:rPr>
        <w:t>FFS on whether and how to report load of potential PSCells.</w:t>
      </w:r>
    </w:p>
    <w:p>
      <w:pPr>
        <w:rPr>
          <w:rFonts w:eastAsia="等线" w:cs="Calibri"/>
          <w:b/>
          <w:color w:val="0000FF"/>
          <w:sz w:val="18"/>
          <w:szCs w:val="24"/>
          <w:lang w:eastAsia="zh-CN"/>
        </w:rPr>
      </w:pPr>
      <w:r>
        <w:rPr>
          <w:rFonts w:eastAsia="等线" w:cs="Calibri"/>
          <w:b/>
          <w:color w:val="0000FF"/>
          <w:sz w:val="18"/>
          <w:szCs w:val="24"/>
          <w:lang w:eastAsia="zh-CN"/>
        </w:rPr>
        <w:t>FFS on whether and how to exchange information of cells for resource aggregation.</w:t>
      </w:r>
    </w:p>
    <w:p>
      <w:pPr>
        <w:rPr>
          <w:rFonts w:eastAsia="等线" w:cs="Calibri"/>
          <w:b/>
          <w:color w:val="0000FF"/>
          <w:sz w:val="18"/>
          <w:szCs w:val="24"/>
          <w:lang w:eastAsia="zh-CN"/>
        </w:rPr>
      </w:pPr>
      <w:r>
        <w:rPr>
          <w:rFonts w:eastAsia="等线" w:cs="Calibri"/>
          <w:b/>
          <w:color w:val="0000FF"/>
          <w:sz w:val="18"/>
          <w:szCs w:val="24"/>
          <w:lang w:eastAsia="zh-CN"/>
        </w:rPr>
        <w:t>FFS on introducing per SSB area SUL PRB usage over Xn and F1.</w:t>
      </w:r>
    </w:p>
    <w:p>
      <w:pPr>
        <w:jc w:val="both"/>
        <w:rPr>
          <w:rFonts w:hint="eastAsia"/>
          <w:lang w:val="en-US" w:eastAsia="zh-CN"/>
        </w:rPr>
      </w:pPr>
      <w:r>
        <w:rPr>
          <w:rFonts w:eastAsia="等线" w:cs="Calibri"/>
          <w:b/>
          <w:color w:val="0000FF"/>
          <w:sz w:val="18"/>
          <w:szCs w:val="24"/>
          <w:lang w:eastAsia="zh-CN"/>
        </w:rPr>
        <w:t>To be continued...</w:t>
      </w:r>
    </w:p>
    <w:p>
      <w:pPr>
        <w:jc w:val="both"/>
        <w:rPr>
          <w:rFonts w:hint="default"/>
          <w:lang w:val="en-US" w:eastAsia="zh-CN"/>
        </w:rPr>
      </w:pPr>
      <w:r>
        <w:rPr>
          <w:rFonts w:hint="eastAsia"/>
          <w:lang w:val="en-US" w:eastAsia="zh-CN"/>
        </w:rPr>
        <w:t>In this contribution, we will further discuss the remaining issue for load balancing enhancements.</w:t>
      </w:r>
    </w:p>
    <w:p>
      <w:pPr>
        <w:pStyle w:val="2"/>
        <w:rPr>
          <w:rFonts w:hint="eastAsia"/>
          <w:lang w:val="en-US" w:eastAsia="zh-CN"/>
        </w:rPr>
      </w:pPr>
      <w:r>
        <w:rPr>
          <w:rFonts w:hint="eastAsia"/>
          <w:lang w:val="en-US" w:eastAsia="zh-CN"/>
        </w:rPr>
        <w:t>Discussion</w:t>
      </w:r>
      <w:bookmarkStart w:id="3" w:name="OLE_LINK4"/>
      <w:bookmarkStart w:id="4" w:name="OLE_LINK3"/>
      <w:bookmarkStart w:id="5" w:name="OLE_LINK6"/>
    </w:p>
    <w:p>
      <w:pPr>
        <w:pStyle w:val="3"/>
        <w:bidi w:val="0"/>
        <w:rPr>
          <w:rFonts w:hint="default"/>
          <w:sz w:val="28"/>
          <w:szCs w:val="18"/>
          <w:lang w:val="en-US" w:eastAsia="zh-CN"/>
        </w:rPr>
      </w:pPr>
      <w:r>
        <w:rPr>
          <w:rFonts w:hint="eastAsia"/>
          <w:sz w:val="28"/>
          <w:szCs w:val="18"/>
          <w:lang w:val="en-US" w:eastAsia="zh-CN"/>
        </w:rPr>
        <w:t>Offset for Mobility Settings Change</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 xml:space="preserve">In the previous meetings, per-SSB offset and per-slice offset for Mobility Settings Change have been discussed. As discussed in [2], the per-SSB offset for Mobility Settings Change is benefit to adjust the threshold of handover in beam level. In addition, according to the TS 38.331, the per-SSB offset could be referred to the CIO (cellIndividualOffset) in the </w:t>
      </w:r>
      <w:r>
        <w:rPr>
          <w:rFonts w:hint="eastAsia" w:cs="Times New Roman"/>
          <w:i/>
          <w:iCs/>
          <w:sz w:val="20"/>
          <w:szCs w:val="20"/>
          <w:highlight w:val="none"/>
          <w:u w:val="none"/>
          <w:lang w:val="en-US" w:eastAsia="zh-CN"/>
        </w:rPr>
        <w:t>MeasObjectNR</w:t>
      </w:r>
      <w:r>
        <w:rPr>
          <w:rFonts w:hint="eastAsia" w:cs="Times New Roman"/>
          <w:sz w:val="20"/>
          <w:szCs w:val="20"/>
          <w:highlight w:val="none"/>
          <w:u w:val="none"/>
          <w:lang w:val="en-US" w:eastAsia="zh-CN"/>
        </w:rPr>
        <w:t xml:space="preserve"> IE.</w:t>
      </w:r>
    </w:p>
    <w:p>
      <w:pPr>
        <w:pStyle w:val="69"/>
        <w:rPr>
          <w:highlight w:val="yellow"/>
        </w:rPr>
      </w:pPr>
      <w:r>
        <w:rPr>
          <w:highlight w:val="yellow"/>
        </w:rPr>
        <w:t xml:space="preserve">Q-OffsetRangeList ::=               </w:t>
      </w:r>
      <w:r>
        <w:rPr>
          <w:color w:val="993366"/>
          <w:highlight w:val="yellow"/>
        </w:rPr>
        <w:t>SEQUENCE</w:t>
      </w:r>
      <w:r>
        <w:rPr>
          <w:highlight w:val="yellow"/>
        </w:rPr>
        <w:t xml:space="preserve"> {</w:t>
      </w:r>
    </w:p>
    <w:p>
      <w:pPr>
        <w:pStyle w:val="69"/>
        <w:rPr>
          <w:highlight w:val="yellow"/>
        </w:rPr>
      </w:pPr>
      <w:r>
        <w:rPr>
          <w:highlight w:val="yellow"/>
        </w:rPr>
        <w:t xml:space="preserve">    rsrpOffsetSSB                       Q-OffsetRange               DEFAULT dB0,</w:t>
      </w:r>
    </w:p>
    <w:p>
      <w:pPr>
        <w:pStyle w:val="69"/>
        <w:rPr>
          <w:highlight w:val="yellow"/>
        </w:rPr>
      </w:pPr>
      <w:r>
        <w:rPr>
          <w:highlight w:val="yellow"/>
        </w:rPr>
        <w:t xml:space="preserve">    rsrqOffsetSSB                       Q-OffsetRange               DEFAULT dB0,</w:t>
      </w:r>
    </w:p>
    <w:p>
      <w:pPr>
        <w:pStyle w:val="69"/>
        <w:rPr>
          <w:highlight w:val="yellow"/>
        </w:rPr>
      </w:pPr>
      <w:r>
        <w:rPr>
          <w:highlight w:val="yellow"/>
        </w:rPr>
        <w:t xml:space="preserve">    sinrOffsetSSB                       Q-OffsetRange               DEFAULT dB0,</w:t>
      </w:r>
    </w:p>
    <w:p>
      <w:pPr>
        <w:pStyle w:val="69"/>
        <w:rPr>
          <w:highlight w:val="yellow"/>
        </w:rPr>
      </w:pPr>
      <w:r>
        <w:rPr>
          <w:highlight w:val="yellow"/>
        </w:rPr>
        <w:t xml:space="preserve">    rsrpOffsetCSI-RS                    Q-OffsetRange               DEFAULT dB0,</w:t>
      </w:r>
    </w:p>
    <w:p>
      <w:pPr>
        <w:pStyle w:val="69"/>
        <w:rPr>
          <w:highlight w:val="yellow"/>
        </w:rPr>
      </w:pPr>
      <w:r>
        <w:rPr>
          <w:highlight w:val="yellow"/>
        </w:rPr>
        <w:t xml:space="preserve">    rsrqOffsetCSI-RS                    Q-OffsetRange               DEFAULT dB0,</w:t>
      </w:r>
    </w:p>
    <w:p>
      <w:pPr>
        <w:pStyle w:val="69"/>
        <w:rPr>
          <w:highlight w:val="yellow"/>
        </w:rPr>
      </w:pPr>
      <w:r>
        <w:rPr>
          <w:highlight w:val="yellow"/>
        </w:rPr>
        <w:t xml:space="preserve">    sinrOffsetCSI-RS                    Q-OffsetRange               DEFAULT dB0</w:t>
      </w:r>
    </w:p>
    <w:p>
      <w:pPr>
        <w:pStyle w:val="69"/>
        <w:rPr>
          <w:highlight w:val="yellow"/>
        </w:rPr>
      </w:pPr>
      <w:r>
        <w:rPr>
          <w:highlight w:val="yellow"/>
        </w:rPr>
        <w:t>}</w:t>
      </w:r>
    </w:p>
    <w:p>
      <w:pPr>
        <w:pStyle w:val="69"/>
      </w:pPr>
    </w:p>
    <w:p>
      <w:pPr>
        <w:pStyle w:val="69"/>
      </w:pPr>
    </w:p>
    <w:p>
      <w:pPr>
        <w:pStyle w:val="69"/>
      </w:pPr>
      <w:r>
        <w:t xml:space="preserve">ThresholdNR ::=                     </w:t>
      </w:r>
      <w:r>
        <w:rPr>
          <w:color w:val="993366"/>
        </w:rPr>
        <w:t>SEQUENCE</w:t>
      </w:r>
      <w:r>
        <w:t>{</w:t>
      </w:r>
    </w:p>
    <w:p>
      <w:pPr>
        <w:pStyle w:val="69"/>
        <w:rPr>
          <w:color w:val="808080"/>
        </w:rPr>
      </w:pPr>
      <w:r>
        <w:t xml:space="preserve">    thresholdRSRP                       RSRP-Range                                                      </w:t>
      </w:r>
      <w:r>
        <w:rPr>
          <w:color w:val="993366"/>
        </w:rPr>
        <w:t>OPTIONAL</w:t>
      </w:r>
      <w:r>
        <w:t xml:space="preserve">,   </w:t>
      </w:r>
      <w:r>
        <w:rPr>
          <w:color w:val="808080"/>
        </w:rPr>
        <w:t>-- Need R</w:t>
      </w:r>
    </w:p>
    <w:p>
      <w:pPr>
        <w:pStyle w:val="69"/>
        <w:rPr>
          <w:color w:val="808080"/>
        </w:rPr>
      </w:pPr>
      <w:r>
        <w:t xml:space="preserve">    thresholdRSRQ                       RSRQ-Range                                                      </w:t>
      </w:r>
      <w:r>
        <w:rPr>
          <w:color w:val="993366"/>
        </w:rPr>
        <w:t>OPTIONAL</w:t>
      </w:r>
      <w:r>
        <w:t xml:space="preserve">,   </w:t>
      </w:r>
      <w:r>
        <w:rPr>
          <w:color w:val="808080"/>
        </w:rPr>
        <w:t>-- Need R</w:t>
      </w:r>
    </w:p>
    <w:p>
      <w:pPr>
        <w:pStyle w:val="69"/>
        <w:rPr>
          <w:color w:val="808080"/>
        </w:rPr>
      </w:pPr>
      <w:r>
        <w:t xml:space="preserve">    thresholdSINR                       SINR-Range                                                      </w:t>
      </w:r>
      <w:r>
        <w:rPr>
          <w:color w:val="993366"/>
        </w:rPr>
        <w:t>OPTIONAL</w:t>
      </w:r>
      <w:r>
        <w:t xml:space="preserve">    </w:t>
      </w:r>
      <w:r>
        <w:rPr>
          <w:color w:val="808080"/>
        </w:rPr>
        <w:t>-- Need R</w:t>
      </w:r>
    </w:p>
    <w:p>
      <w:pPr>
        <w:pStyle w:val="69"/>
      </w:pPr>
      <w:r>
        <w:t>}</w:t>
      </w:r>
    </w:p>
    <w:p>
      <w:pPr>
        <w:pStyle w:val="69"/>
      </w:pPr>
    </w:p>
    <w:p>
      <w:pPr>
        <w:pStyle w:val="69"/>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pPr>
        <w:pStyle w:val="69"/>
      </w:pPr>
    </w:p>
    <w:p>
      <w:pPr>
        <w:pStyle w:val="69"/>
      </w:pPr>
      <w:r>
        <w:t xml:space="preserve">CellsToAddMod ::=                   </w:t>
      </w:r>
      <w:r>
        <w:rPr>
          <w:color w:val="993366"/>
        </w:rPr>
        <w:t>SEQUENCE</w:t>
      </w:r>
      <w:r>
        <w:t xml:space="preserve"> {</w:t>
      </w:r>
    </w:p>
    <w:p>
      <w:pPr>
        <w:pStyle w:val="69"/>
      </w:pPr>
      <w:r>
        <w:t xml:space="preserve">    physCellId                          PhysCellId,</w:t>
      </w:r>
    </w:p>
    <w:p>
      <w:pPr>
        <w:pStyle w:val="69"/>
      </w:pPr>
      <w:r>
        <w:t xml:space="preserve">  </w:t>
      </w:r>
      <w:r>
        <w:rPr>
          <w:highlight w:val="yellow"/>
        </w:rPr>
        <w:t xml:space="preserve">  cellIndividualOffset                Q-OffsetRangeList</w:t>
      </w:r>
    </w:p>
    <w:p>
      <w:pPr>
        <w:pStyle w:val="69"/>
      </w:pPr>
      <w:r>
        <w:t>}</w:t>
      </w:r>
    </w:p>
    <w:p>
      <w:pPr>
        <w:rPr>
          <w:rFonts w:hint="default" w:cs="Times New Roman"/>
          <w:sz w:val="20"/>
          <w:szCs w:val="20"/>
          <w:highlight w:val="none"/>
          <w:u w:val="none"/>
          <w:lang w:val="en-US" w:eastAsia="zh-CN"/>
        </w:rPr>
      </w:pP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While for the per-slice offset, there is no appropriate reference over Uu. Meanwhile, unlike the beam with the feature of direction, there is no direction for the specific slice. In this case, it is difficult for the gNB to make the decision for handover, even with the per-slice offset.</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1: The per-SSB offset for Mobility Settings Change could be introduced over Xn, while the per-slice offset for Mobility Settings Change is not needed.</w:t>
      </w:r>
    </w:p>
    <w:p>
      <w:pPr>
        <w:pStyle w:val="3"/>
        <w:bidi w:val="0"/>
        <w:rPr>
          <w:rFonts w:hint="default"/>
          <w:sz w:val="28"/>
          <w:szCs w:val="18"/>
          <w:lang w:val="en-US" w:eastAsia="zh-CN"/>
        </w:rPr>
      </w:pPr>
      <w:r>
        <w:rPr>
          <w:rFonts w:hint="eastAsia"/>
          <w:sz w:val="28"/>
          <w:szCs w:val="18"/>
          <w:lang w:val="en-US" w:eastAsia="zh-CN"/>
        </w:rPr>
        <w:t>Number of UEs in RRC Inactive</w:t>
      </w:r>
    </w:p>
    <w:p>
      <w:pPr>
        <w:rPr>
          <w:rFonts w:hint="default"/>
          <w:sz w:val="20"/>
          <w:szCs w:val="20"/>
          <w:lang w:val="en-US" w:eastAsia="zh-CN"/>
        </w:rPr>
      </w:pPr>
      <w:r>
        <w:rPr>
          <w:rFonts w:hint="eastAsia" w:cs="Times New Roman"/>
          <w:sz w:val="20"/>
          <w:szCs w:val="20"/>
          <w:highlight w:val="none"/>
          <w:u w:val="none"/>
          <w:lang w:val="en-US" w:eastAsia="zh-CN"/>
        </w:rPr>
        <w:t>In this previous meetings, the Number of UEs in RRC Inactive was discussed.</w:t>
      </w:r>
      <w:r>
        <w:rPr>
          <w:rFonts w:hint="eastAsia"/>
          <w:sz w:val="20"/>
          <w:szCs w:val="20"/>
          <w:lang w:val="en-US" w:eastAsia="zh-CN"/>
        </w:rPr>
        <w:t xml:space="preserve"> And the details of the number of inactive UEs can be referred to the number of stored inactive UE contexts, which is defined in TS38.314.</w:t>
      </w:r>
    </w:p>
    <w:p>
      <w:pPr>
        <w:rPr>
          <w:rFonts w:hint="eastAsia"/>
          <w:sz w:val="20"/>
          <w:szCs w:val="20"/>
          <w:lang w:val="en-US" w:eastAsia="zh-CN"/>
        </w:rPr>
      </w:pPr>
      <w:r>
        <w:rPr>
          <w:rFonts w:hint="eastAsia"/>
          <w:sz w:val="20"/>
          <w:szCs w:val="20"/>
          <w:lang w:val="en-US" w:eastAsia="zh-CN"/>
        </w:rPr>
        <w:t>However, the stored inactive UE contexts only occupy the storage resource in the cell, while the other introduced load metrics in NR, such as the PRB usage and RRC connections, would occupy the CPU computing resource and signalling overhead. Meanwhile, the Core Network shall clean the stored inactive UE contexts within a time period. Therefore, there is no strong benefit of introducing the number of inactive UE as the load metric in NR.</w:t>
      </w:r>
    </w:p>
    <w:p>
      <w:pPr>
        <w:rPr>
          <w:rFonts w:hint="default"/>
          <w:sz w:val="20"/>
          <w:szCs w:val="20"/>
          <w:lang w:val="en-US" w:eastAsia="zh-CN"/>
        </w:rPr>
      </w:pPr>
      <w:r>
        <w:rPr>
          <w:rFonts w:hint="eastAsia"/>
          <w:sz w:val="20"/>
          <w:szCs w:val="20"/>
          <w:lang w:val="en-US" w:eastAsia="zh-CN"/>
        </w:rPr>
        <w:t>In addition, in RRC Inactive mode, the UE is able to move freely in the RNA without the explicit signalling with gNB. And there could be more than 5000 inactive UEs in a certain RNA, in this case, the number of the inactive UEs is not accurate enough to represent the load status of the cell.</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2: It is unnecessary to introduce the Number of UE in RRC Inactive.</w:t>
      </w:r>
    </w:p>
    <w:p>
      <w:pPr>
        <w:pStyle w:val="3"/>
        <w:bidi w:val="0"/>
        <w:rPr>
          <w:rFonts w:hint="default"/>
          <w:sz w:val="28"/>
          <w:szCs w:val="18"/>
          <w:lang w:val="en-US" w:eastAsia="zh-CN"/>
        </w:rPr>
      </w:pPr>
      <w:r>
        <w:rPr>
          <w:rFonts w:hint="eastAsia"/>
          <w:sz w:val="28"/>
          <w:szCs w:val="18"/>
          <w:lang w:val="en-US" w:eastAsia="zh-CN"/>
        </w:rPr>
        <w:t>Stop/Pause/Resume Mechanism</w:t>
      </w:r>
    </w:p>
    <w:bookmarkEnd w:id="3"/>
    <w:bookmarkEnd w:id="4"/>
    <w:bookmarkEnd w:id="5"/>
    <w:p>
      <w:pPr>
        <w:rPr>
          <w:rFonts w:hint="default"/>
          <w:sz w:val="20"/>
          <w:szCs w:val="20"/>
          <w:lang w:val="en-US" w:eastAsia="zh-CN"/>
        </w:rPr>
      </w:pPr>
      <w:r>
        <w:rPr>
          <w:rFonts w:hint="eastAsia"/>
          <w:sz w:val="20"/>
          <w:szCs w:val="20"/>
          <w:lang w:val="en-US" w:eastAsia="zh-CN"/>
        </w:rPr>
        <w:t xml:space="preserve">In LTE, </w:t>
      </w:r>
      <w:r>
        <w:rPr>
          <w:rFonts w:hint="eastAsia"/>
          <w:lang w:val="en-US" w:eastAsia="zh-CN"/>
        </w:rPr>
        <w:t xml:space="preserve">the eNB is able to initiate a new Resource Status Reporting Initiation procedure to remove all or some of the corresponding cells from measurement after the eNB receives the RESOURCE STATUS UPDATE message with </w:t>
      </w:r>
      <w:r>
        <w:rPr>
          <w:rFonts w:hint="eastAsia"/>
          <w:sz w:val="20"/>
          <w:szCs w:val="20"/>
          <w:lang w:val="en-US" w:eastAsia="zh-CN"/>
        </w:rPr>
        <w:t xml:space="preserve">the </w:t>
      </w:r>
      <w:r>
        <w:rPr>
          <w:i/>
        </w:rPr>
        <w:t>Cell Reporting Indicator</w:t>
      </w:r>
      <w:r>
        <w:t xml:space="preserve"> IE</w:t>
      </w:r>
      <w:r>
        <w:rPr>
          <w:rFonts w:hint="eastAsia"/>
          <w:lang w:val="en-US" w:eastAsia="zh-CN"/>
        </w:rPr>
        <w:t xml:space="preserve"> set as </w:t>
      </w:r>
      <w:r>
        <w:rPr>
          <w:rFonts w:hint="default"/>
          <w:lang w:val="en-US" w:eastAsia="zh-CN"/>
        </w:rPr>
        <w:t>“</w:t>
      </w:r>
      <w:r>
        <w:rPr>
          <w:rFonts w:hint="eastAsia"/>
          <w:lang w:val="en-US" w:eastAsia="zh-CN"/>
        </w:rPr>
        <w:t>stop request</w:t>
      </w:r>
      <w:r>
        <w:rPr>
          <w:rFonts w:hint="default"/>
          <w:lang w:val="en-US" w:eastAsia="zh-CN"/>
        </w:rPr>
        <w:t>”</w:t>
      </w:r>
      <w:r>
        <w:rPr>
          <w:rFonts w:hint="eastAsia"/>
          <w:lang w:val="en-US" w:eastAsia="zh-CN"/>
        </w:rPr>
        <w:t>. However, for the MLB in NR, not all the legacy features or mechanisms need to be introduced, such as the partial failure. In current NR specification, the load reporting procedure could work well without this mechanism. And there seems no obvious benefit of the Pause/Resume mechanism.</w:t>
      </w:r>
    </w:p>
    <w:p>
      <w:pPr>
        <w:rPr>
          <w:rFonts w:hint="default"/>
          <w:sz w:val="22"/>
          <w:szCs w:val="22"/>
          <w:lang w:val="en-US" w:eastAsia="zh-CN"/>
        </w:rPr>
      </w:pPr>
      <w:r>
        <w:rPr>
          <w:rFonts w:hint="eastAsia" w:cs="Times New Roman"/>
          <w:b/>
          <w:bCs/>
          <w:szCs w:val="20"/>
          <w:highlight w:val="none"/>
          <w:u w:val="none"/>
          <w:lang w:val="en-US" w:eastAsia="zh-CN"/>
        </w:rPr>
        <w:t>Proposal 3: The Stop/Pause/Resume Mechanism could be regarded as the legacy enhancement of load balancing, but not necessary in NR.</w:t>
      </w:r>
    </w:p>
    <w:p>
      <w:pPr>
        <w:pStyle w:val="2"/>
        <w:rPr>
          <w:lang w:val="en-US"/>
        </w:rPr>
      </w:pPr>
      <w:r>
        <w:rPr>
          <w:rFonts w:hint="eastAsia" w:eastAsia="宋体"/>
          <w:lang w:val="en-US" w:eastAsia="zh-CN"/>
        </w:rPr>
        <w:t>Conclusion</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Proposal 1: The per-SSB offset for Mobility Settings Change could be introduced over Xn, while the per-slice offset for Mobility Settings Change is not needed.</w:t>
      </w:r>
    </w:p>
    <w:p>
      <w:pPr>
        <w:rPr>
          <w:rFonts w:hint="default" w:cs="Times New Roman"/>
          <w:sz w:val="20"/>
          <w:szCs w:val="20"/>
          <w:highlight w:val="none"/>
          <w:u w:val="none"/>
          <w:lang w:val="en-US" w:eastAsia="zh-CN"/>
        </w:rPr>
      </w:pPr>
      <w:r>
        <w:rPr>
          <w:rFonts w:hint="eastAsia" w:cs="Times New Roman"/>
          <w:b/>
          <w:bCs/>
          <w:szCs w:val="20"/>
          <w:highlight w:val="none"/>
          <w:u w:val="none"/>
          <w:lang w:val="en-US" w:eastAsia="zh-CN"/>
        </w:rPr>
        <w:t>Proposal 2: It is unnecessary to introduce the Number of UE in RRC Inactive.</w:t>
      </w:r>
    </w:p>
    <w:p>
      <w:pPr>
        <w:rPr>
          <w:rFonts w:hint="default"/>
          <w:sz w:val="22"/>
          <w:szCs w:val="22"/>
          <w:lang w:val="en-US" w:eastAsia="zh-CN"/>
        </w:rPr>
      </w:pPr>
      <w:r>
        <w:rPr>
          <w:rFonts w:hint="eastAsia" w:cs="Times New Roman"/>
          <w:b/>
          <w:bCs/>
          <w:szCs w:val="20"/>
          <w:highlight w:val="none"/>
          <w:u w:val="none"/>
          <w:lang w:val="en-US" w:eastAsia="zh-CN"/>
        </w:rPr>
        <w:t>Proposal 3: The Stop/Pause/Resume Mechanism could be regarded as an legacy enhancement of load balancing, but not necessary in NR.</w:t>
      </w:r>
    </w:p>
    <w:p>
      <w:pPr>
        <w:rPr>
          <w:rFonts w:hint="eastAsia" w:cs="Times New Roman"/>
          <w:b/>
          <w:bCs/>
          <w:szCs w:val="20"/>
          <w:highlight w:val="none"/>
          <w:u w:val="none"/>
          <w:lang w:val="en-US" w:eastAsia="zh-CN"/>
        </w:rPr>
      </w:pPr>
    </w:p>
    <w:p>
      <w:pPr>
        <w:pStyle w:val="2"/>
        <w:bidi w:val="0"/>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6" w:name="OLE_LINK1"/>
      <w:r>
        <w:rPr>
          <w:rFonts w:hint="eastAsia"/>
          <w:lang w:val="en-US" w:eastAsia="zh-CN"/>
        </w:rPr>
        <w:t xml:space="preserve">R3-214320 </w:t>
      </w:r>
      <w:r>
        <w:rPr>
          <w:lang w:val="en-GB"/>
        </w:rPr>
        <w:t xml:space="preserve">Summary of </w:t>
      </w:r>
      <w:r>
        <w:rPr>
          <w:rFonts w:hint="eastAsia" w:eastAsia="宋体"/>
          <w:lang w:val="en-GB" w:eastAsia="zh-CN"/>
        </w:rPr>
        <w:t>o</w:t>
      </w:r>
      <w:r>
        <w:rPr>
          <w:lang w:val="en-GB"/>
        </w:rPr>
        <w:t xml:space="preserve">ffline </w:t>
      </w:r>
      <w:r>
        <w:rPr>
          <w:rFonts w:hint="eastAsia" w:eastAsia="宋体"/>
          <w:lang w:val="en-GB" w:eastAsia="zh-CN"/>
        </w:rPr>
        <w:t>d</w:t>
      </w:r>
      <w:r>
        <w:rPr>
          <w:lang w:val="en-GB"/>
        </w:rPr>
        <w:t xml:space="preserve">iscussion on </w:t>
      </w:r>
      <w:r>
        <w:rPr>
          <w:rFonts w:hint="eastAsia" w:eastAsia="宋体"/>
          <w:lang w:val="en-GB" w:eastAsia="zh-CN"/>
        </w:rPr>
        <w:t>l</w:t>
      </w:r>
      <w:r>
        <w:rPr>
          <w:lang w:val="en-GB"/>
        </w:rPr>
        <w:t xml:space="preserve">oad </w:t>
      </w:r>
      <w:r>
        <w:rPr>
          <w:rFonts w:hint="eastAsia" w:eastAsia="宋体"/>
          <w:lang w:val="en-GB" w:eastAsia="zh-CN"/>
        </w:rPr>
        <w:t>b</w:t>
      </w:r>
      <w:r>
        <w:rPr>
          <w:lang w:val="en-GB"/>
        </w:rPr>
        <w:t xml:space="preserve">alancing </w:t>
      </w:r>
      <w:r>
        <w:rPr>
          <w:rFonts w:hint="eastAsia" w:eastAsia="宋体"/>
          <w:lang w:val="en-GB" w:eastAsia="zh-CN"/>
        </w:rPr>
        <w:t>e</w:t>
      </w:r>
      <w:r>
        <w:rPr>
          <w:lang w:val="en-GB"/>
        </w:rPr>
        <w:t>nhancements</w:t>
      </w:r>
      <w:r>
        <w:rPr>
          <w:rFonts w:hint="eastAsia"/>
          <w:lang w:val="en-US" w:eastAsia="zh-CN"/>
        </w:rPr>
        <w:t xml:space="preserve"> CMCC</w:t>
      </w:r>
    </w:p>
    <w:p>
      <w:pPr>
        <w:numPr>
          <w:ilvl w:val="0"/>
          <w:numId w:val="12"/>
        </w:numPr>
        <w:rPr>
          <w:rFonts w:hint="eastAsia"/>
          <w:iCs/>
          <w:lang w:val="en-US" w:eastAsia="zh-CN"/>
        </w:rPr>
      </w:pPr>
      <w:r>
        <w:rPr>
          <w:rFonts w:hint="eastAsia"/>
          <w:sz w:val="21"/>
          <w:szCs w:val="22"/>
          <w:lang w:val="en-US" w:eastAsia="zh-CN"/>
        </w:rPr>
        <w:fldChar w:fldCharType="begin"/>
      </w:r>
      <w:r>
        <w:rPr>
          <w:rFonts w:hint="eastAsia"/>
          <w:sz w:val="21"/>
          <w:szCs w:val="22"/>
          <w:lang w:val="en-US" w:eastAsia="zh-CN"/>
        </w:rPr>
        <w:instrText xml:space="preserve"> HYPERLINK "Docs\\R3-201832.zip" </w:instrText>
      </w:r>
      <w:r>
        <w:rPr>
          <w:rFonts w:hint="eastAsia"/>
          <w:sz w:val="21"/>
          <w:szCs w:val="22"/>
          <w:lang w:val="en-US" w:eastAsia="zh-CN"/>
        </w:rPr>
        <w:fldChar w:fldCharType="separate"/>
      </w:r>
      <w:r>
        <w:rPr>
          <w:rFonts w:hint="eastAsia"/>
          <w:sz w:val="21"/>
          <w:szCs w:val="22"/>
          <w:lang w:val="en-US" w:eastAsia="zh-CN"/>
        </w:rPr>
        <w:t>R3-21</w:t>
      </w:r>
      <w:r>
        <w:rPr>
          <w:rFonts w:hint="eastAsia"/>
          <w:sz w:val="21"/>
          <w:szCs w:val="22"/>
          <w:lang w:val="en-US" w:eastAsia="zh-CN"/>
        </w:rPr>
        <w:fldChar w:fldCharType="end"/>
      </w:r>
      <w:r>
        <w:rPr>
          <w:rFonts w:hint="eastAsia"/>
          <w:sz w:val="21"/>
          <w:szCs w:val="22"/>
          <w:lang w:val="en-US" w:eastAsia="zh-CN"/>
        </w:rPr>
        <w:t xml:space="preserve">3815 </w:t>
      </w:r>
      <w:r>
        <w:rPr>
          <w:rFonts w:hint="eastAsia"/>
          <w:lang w:val="en-US" w:eastAsia="zh-CN"/>
        </w:rPr>
        <w:t>(TP for SON BL CR for TS 38.423) MLB enhancements Ericsson</w:t>
      </w:r>
      <w:bookmarkEnd w:id="6"/>
      <w:bookmarkStart w:id="7" w:name="_GoBack"/>
      <w:bookmarkEnd w:id="7"/>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C990A48"/>
    <w:multiLevelType w:val="multilevel"/>
    <w:tmpl w:val="3C990A48"/>
    <w:lvl w:ilvl="0" w:tentative="0">
      <w:start w:val="3"/>
      <w:numFmt w:val="bullet"/>
      <w:lvlText w:val="-"/>
      <w:lvlJc w:val="left"/>
      <w:pPr>
        <w:ind w:left="360" w:hanging="360"/>
      </w:pPr>
      <w:rPr>
        <w:rFonts w:hint="default" w:ascii="Calibri" w:hAnsi="Calibri" w:eastAsia="等线"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1"/>
  </w:num>
  <w:num w:numId="5">
    <w:abstractNumId w:val="8"/>
  </w:num>
  <w:num w:numId="6">
    <w:abstractNumId w:val="7"/>
  </w:num>
  <w:num w:numId="7">
    <w:abstractNumId w:val="5"/>
  </w:num>
  <w:num w:numId="8">
    <w:abstractNumId w:val="9"/>
  </w:num>
  <w:num w:numId="9">
    <w:abstractNumId w:val="6"/>
  </w:num>
  <w:num w:numId="10">
    <w:abstractNumId w:val="2"/>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D83A93"/>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706DE"/>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29285D"/>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2B4789"/>
    <w:rsid w:val="2D4C1636"/>
    <w:rsid w:val="2D4E266A"/>
    <w:rsid w:val="2D5A6D9B"/>
    <w:rsid w:val="2DB40F60"/>
    <w:rsid w:val="2E2F6AFD"/>
    <w:rsid w:val="2E4E2817"/>
    <w:rsid w:val="2E7528B1"/>
    <w:rsid w:val="2EC36F08"/>
    <w:rsid w:val="2EEE69D4"/>
    <w:rsid w:val="2F043965"/>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4877A4"/>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057B71"/>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5FF3671D"/>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3F75AE"/>
    <w:rsid w:val="65436FF0"/>
    <w:rsid w:val="655E4198"/>
    <w:rsid w:val="65D265A8"/>
    <w:rsid w:val="65F10A6F"/>
    <w:rsid w:val="65F44DB7"/>
    <w:rsid w:val="65FE57FF"/>
    <w:rsid w:val="662156A1"/>
    <w:rsid w:val="664B6238"/>
    <w:rsid w:val="66664685"/>
    <w:rsid w:val="667A27AD"/>
    <w:rsid w:val="668D213A"/>
    <w:rsid w:val="66B024EE"/>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E10BB2"/>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5</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2021-10-22T06:24:44Z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